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B2107B3"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425AC">
        <w:rPr>
          <w:rFonts w:cs="B Mitra" w:hint="cs"/>
          <w:b/>
          <w:bCs/>
          <w:sz w:val="32"/>
          <w:szCs w:val="32"/>
          <w:rtl/>
          <w:lang w:bidi="fa-IR"/>
        </w:rPr>
        <w:t>9</w:t>
      </w:r>
      <w:r w:rsidR="002E532C">
        <w:rPr>
          <w:rFonts w:cs="B Mitra" w:hint="cs"/>
          <w:b/>
          <w:bCs/>
          <w:sz w:val="32"/>
          <w:szCs w:val="32"/>
          <w:rtl/>
          <w:lang w:bidi="fa-IR"/>
        </w:rPr>
        <w:t>9</w:t>
      </w:r>
    </w:p>
    <w:p w14:paraId="53EFC030" w14:textId="37C62E51" w:rsidR="002E532C" w:rsidRDefault="002E532C" w:rsidP="005069E4">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جلسه قبل يکی از اشکالات مدعای کاشف اللثام گذشت.</w:t>
      </w:r>
    </w:p>
    <w:p w14:paraId="30A559E1" w14:textId="5DE1DB68" w:rsidR="002E532C" w:rsidRDefault="002E532C" w:rsidP="005069E4">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آنچه که ايشان ادعا کرده است مبنی بر اين که زوج با ابراء، مستحق کل مهر و با طلاق مستحق نصف آن شده است و چون توارد سببين بر مسبب واحد محال نيست، پس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گفت که مالکيت او بر نصف مهر مسبب از دو سبب و بر نصف ديگر آن مسبب از يک سبب است و ديگر وجهی برای مطالبه چيزی زائد بر مهر وجود ندارد، با آنچه که خود ايشان در ابتدا فرمودند مبنی بر اين که ابراء، تمليک نبوده و بلکه اسقاط حق است، سازگار نيست، زيرا در صورتی که ابراء را موجب تمليک مهر ندانيم، فقط يک سبب برای ملکيت باقی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ماند و آن نيز طلاق است که سبب ملکيت زوج بر نصف مهر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r w:rsidR="00CD79EE">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و چون مهر پس از تحقق قبض آن به سبب ديگری به ملکيت زوج درنيامده است، پس بر زوجه واجب است که به واسطه طلاق</w:t>
      </w:r>
      <w:r w:rsidR="00CD79EE">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نصف مهر را به زوج تحويل دهد و چون عينی برای تحويل وجود ندارد، تحويل قيمت نصف بر زوجه تعيّن پيدا خواهد کرد.</w:t>
      </w:r>
    </w:p>
    <w:p w14:paraId="5275CB14" w14:textId="29523DBB" w:rsidR="002E532C" w:rsidRDefault="002E532C" w:rsidP="005069E4">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اگر ابراء را موجب تمليک بدانيم نيز اين مطلب منافاتی با لزوم رد قيمت نصف مهر توسط زوجه به زوج ندارد، چون همان گونه که در مهری که عين خارجی است اگر زوجه آن را از زوج قبض کرده و سپس به </w:t>
      </w:r>
      <w:r w:rsidR="00CD79EE">
        <w:rPr>
          <w:rFonts w:ascii="Traditional Arabic" w:hAnsi="Traditional Arabic" w:cs="Abz-2 (Badr)" w:hint="cs"/>
          <w:color w:val="000000"/>
          <w:sz w:val="28"/>
          <w:szCs w:val="28"/>
          <w:rtl/>
          <w:lang w:bidi="fa-IR"/>
        </w:rPr>
        <w:t xml:space="preserve">خود </w:t>
      </w:r>
      <w:r>
        <w:rPr>
          <w:rFonts w:ascii="Traditional Arabic" w:hAnsi="Traditional Arabic" w:cs="Abz-2 (Badr)" w:hint="cs"/>
          <w:color w:val="000000"/>
          <w:sz w:val="28"/>
          <w:szCs w:val="28"/>
          <w:rtl/>
          <w:lang w:bidi="fa-IR"/>
        </w:rPr>
        <w:t>زوج هبه کند، گفته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آنچه که هبه شده، مال زوجه است بدون اين که تقيّد به صداق بودن داشته باشد ـ زيرا اختلاف در اسباب ملکيت سبب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که هر مالی مقيّد به سبب ملکيت آن در ملکيت مالک آن وارد شود، فلذا مالی که خريداری شده با مالی که به انسان هبه شده از حيث ملکيت انسان بر آنها تفاوتی ندارند ـ آنچه که با ابراء تمليک شده است </w:t>
      </w:r>
      <w:r w:rsidR="00CD79EE">
        <w:rPr>
          <w:rFonts w:ascii="Traditional Arabic" w:hAnsi="Traditional Arabic" w:cs="Abz-2 (Badr)" w:hint="cs"/>
          <w:color w:val="000000"/>
          <w:sz w:val="28"/>
          <w:szCs w:val="28"/>
          <w:rtl/>
          <w:lang w:bidi="fa-IR"/>
        </w:rPr>
        <w:t xml:space="preserve">نيز </w:t>
      </w:r>
      <w:r>
        <w:rPr>
          <w:rFonts w:ascii="Traditional Arabic" w:hAnsi="Traditional Arabic" w:cs="Abz-2 (Badr)" w:hint="cs"/>
          <w:color w:val="000000"/>
          <w:sz w:val="28"/>
          <w:szCs w:val="28"/>
          <w:rtl/>
          <w:lang w:bidi="fa-IR"/>
        </w:rPr>
        <w:t>مهر نيست تا ادعا شود که با وجود تمليک نصف مهر به زوج توسط زوجه، وجهی برای اين که با طلاق</w:t>
      </w:r>
      <w:r w:rsidR="00CD79EE">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زوج دوباره مالک نصف مهر شود وجود ندارد، بلکه ابراء موجب تحقق قبض مهر توسط زوجه و سپس ملکيت زوج بر ذمه خود </w:t>
      </w:r>
      <w:r>
        <w:rPr>
          <w:rFonts w:ascii="Traditional Arabic" w:hAnsi="Traditional Arabic" w:cs="Abz-2 (Badr)" w:hint="cs"/>
          <w:color w:val="000000"/>
          <w:sz w:val="28"/>
          <w:szCs w:val="28"/>
          <w:rtl/>
          <w:lang w:bidi="fa-IR"/>
        </w:rPr>
        <w:lastRenderedPageBreak/>
        <w:t>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 چون ملکيت انسان بر ذمه خود ممکن نيست، اين مطلب سبب اسقاط ذمه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w:t>
      </w:r>
    </w:p>
    <w:p w14:paraId="067F9452" w14:textId="46A49C15" w:rsidR="007B635F" w:rsidRDefault="007B635F" w:rsidP="005069E4">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مضافاً بر اين که بحث توارد سببين بر مسبب واحد در ما نحن فيه بلا وجه است، چون ابراء زماناً مقدم بر طلاق است و در نتيجه با تحقق ابراء، زوج مالک جميع آن چيزی خواهد بود که بر ذمه اوست و در صورت تحقق طلاق، ديگر چيزی برای اين که زوج با طلاق مالک آن شود وجود نخواهد داشت.</w:t>
      </w:r>
    </w:p>
    <w:p w14:paraId="47D091FB" w14:textId="72CCBFAE" w:rsidR="009F7308" w:rsidRDefault="00CD79EE" w:rsidP="005069E4">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w:t>
      </w:r>
      <w:r w:rsidR="002E532C">
        <w:rPr>
          <w:rFonts w:ascii="Traditional Arabic" w:hAnsi="Traditional Arabic" w:cs="Abz-2 (Badr)" w:hint="cs"/>
          <w:color w:val="000000"/>
          <w:sz w:val="28"/>
          <w:szCs w:val="28"/>
          <w:rtl/>
          <w:lang w:bidi="fa-IR"/>
        </w:rPr>
        <w:t xml:space="preserve"> پاسخ آنچه که کاشف اللثام در نهايت کلام خود در استدلال بر عدم وجوب رد نصف توسط زوجه به زوج بيان کرده است مبنی بر اين که با ابراء زوجه</w:t>
      </w:r>
      <w:r>
        <w:rPr>
          <w:rFonts w:ascii="Traditional Arabic" w:hAnsi="Traditional Arabic" w:cs="Abz-2 (Badr)" w:hint="cs"/>
          <w:color w:val="000000"/>
          <w:sz w:val="28"/>
          <w:szCs w:val="28"/>
          <w:rtl/>
          <w:lang w:bidi="fa-IR"/>
        </w:rPr>
        <w:t>،</w:t>
      </w:r>
      <w:r w:rsidR="002E532C">
        <w:rPr>
          <w:rFonts w:ascii="Traditional Arabic" w:hAnsi="Traditional Arabic" w:cs="Abz-2 (Badr)" w:hint="cs"/>
          <w:color w:val="000000"/>
          <w:sz w:val="28"/>
          <w:szCs w:val="28"/>
          <w:rtl/>
          <w:lang w:bidi="fa-IR"/>
        </w:rPr>
        <w:t xml:space="preserve"> مهر ساقط شده و مهری باقی نمانده تا اين که زوج به نصف آن رجوع کند نيز اين است که ابراء سبب نمی</w:t>
      </w:r>
      <w:r w:rsidR="002E532C">
        <w:rPr>
          <w:rFonts w:ascii="Traditional Arabic" w:hAnsi="Traditional Arabic" w:cs="Abz-2 (Badr)"/>
          <w:color w:val="000000"/>
          <w:sz w:val="28"/>
          <w:szCs w:val="28"/>
          <w:rtl/>
          <w:lang w:bidi="fa-IR"/>
        </w:rPr>
        <w:softHyphen/>
      </w:r>
      <w:r w:rsidR="002E532C">
        <w:rPr>
          <w:rFonts w:ascii="Traditional Arabic" w:hAnsi="Traditional Arabic" w:cs="Abz-2 (Badr)" w:hint="cs"/>
          <w:color w:val="000000"/>
          <w:sz w:val="28"/>
          <w:szCs w:val="28"/>
          <w:rtl/>
          <w:lang w:bidi="fa-IR"/>
        </w:rPr>
        <w:t>شود تا موضوع مهر از اول از بين برود به نحوی که گفته شود: نکاح فاقد مهر است، بلکه با ابراء هنوز صدق می</w:t>
      </w:r>
      <w:r w:rsidR="002E532C">
        <w:rPr>
          <w:rFonts w:ascii="Traditional Arabic" w:hAnsi="Traditional Arabic" w:cs="Abz-2 (Badr)"/>
          <w:color w:val="000000"/>
          <w:sz w:val="28"/>
          <w:szCs w:val="28"/>
          <w:rtl/>
          <w:lang w:bidi="fa-IR"/>
        </w:rPr>
        <w:softHyphen/>
      </w:r>
      <w:r w:rsidR="002E532C">
        <w:rPr>
          <w:rFonts w:ascii="Traditional Arabic" w:hAnsi="Traditional Arabic" w:cs="Abz-2 (Badr)" w:hint="cs"/>
          <w:color w:val="000000"/>
          <w:sz w:val="28"/>
          <w:szCs w:val="28"/>
          <w:rtl/>
          <w:lang w:bidi="fa-IR"/>
        </w:rPr>
        <w:t>کند که نکاح دارای «ما فرضتم» بوده است و در نتيجه بر زوجه واجب است که در صورت قبض آن، نصف آن را به زوج بازگرداند.</w:t>
      </w:r>
    </w:p>
    <w:p w14:paraId="627BB0D5" w14:textId="172E5D37" w:rsidR="00CD79EE" w:rsidRDefault="00CD79EE" w:rsidP="005069E4">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در خصوص تشبيه اين مسأله به مسأله رجوع شاهد از شهادت خود که در کلمات علامه گذشت، شهيد ثانی در بيان فرق دو مسأله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w:t>
      </w:r>
      <w:r w:rsidRPr="00CD79EE">
        <w:rPr>
          <w:rFonts w:ascii="Traditional Arabic" w:hAnsi="Traditional Arabic" w:cs="Abz-2 (Badr)" w:hint="cs"/>
          <w:color w:val="000000"/>
          <w:sz w:val="28"/>
          <w:szCs w:val="28"/>
          <w:rtl/>
          <w:lang w:bidi="fa-IR"/>
        </w:rPr>
        <w:t>الفرق</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بين</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مسألة</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رجوع</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الشاهدين</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والمتنازع</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أن</w:t>
      </w:r>
      <w:r>
        <w:rPr>
          <w:rFonts w:ascii="Traditional Arabic" w:hAnsi="Traditional Arabic" w:cs="Abz-2 (Badr)" w:hint="cs"/>
          <w:color w:val="000000"/>
          <w:sz w:val="28"/>
          <w:szCs w:val="28"/>
          <w:rtl/>
          <w:lang w:bidi="fa-IR"/>
        </w:rPr>
        <w:t>ّ</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حقّ‌</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المهر</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ثابت</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حال</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الإبراء</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في</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ذمّة</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الزوج</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ظاهرا</w:t>
      </w:r>
      <w:r>
        <w:rPr>
          <w:rFonts w:ascii="Traditional Arabic" w:hAnsi="Traditional Arabic" w:cs="Abz-2 (Badr)" w:hint="cs"/>
          <w:color w:val="000000"/>
          <w:sz w:val="28"/>
          <w:szCs w:val="28"/>
          <w:rtl/>
          <w:lang w:bidi="fa-IR"/>
        </w:rPr>
        <w:t>ً</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وباطنا</w:t>
      </w:r>
      <w:r>
        <w:rPr>
          <w:rFonts w:ascii="Traditional Arabic" w:hAnsi="Traditional Arabic" w:cs="Abz-2 (Badr)" w:hint="cs"/>
          <w:color w:val="000000"/>
          <w:sz w:val="28"/>
          <w:szCs w:val="28"/>
          <w:rtl/>
          <w:lang w:bidi="fa-IR"/>
        </w:rPr>
        <w:t>ً</w:t>
      </w:r>
      <w:r w:rsidRPr="00CD79EE">
        <w:rPr>
          <w:rFonts w:ascii="Traditional Arabic" w:hAnsi="Traditional Arabic" w:cs="Abz-2 (Badr)" w:hint="cs"/>
          <w:color w:val="000000"/>
          <w:sz w:val="28"/>
          <w:szCs w:val="28"/>
          <w:rtl/>
          <w:lang w:bidi="fa-IR"/>
        </w:rPr>
        <w:t>،</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فإسقاط</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الحقّ‌</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بعد</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ثبوته</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متحقّق،</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بخلاف</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مسألة</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الرجوع،</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CD79EE">
        <w:rPr>
          <w:rFonts w:ascii="Traditional Arabic" w:hAnsi="Traditional Arabic" w:cs="Abz-2 (Badr)" w:hint="cs"/>
          <w:color w:val="000000"/>
          <w:sz w:val="28"/>
          <w:szCs w:val="28"/>
          <w:rtl/>
          <w:lang w:bidi="fa-IR"/>
        </w:rPr>
        <w:t>ه</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لا</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ثبوت</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فيها،</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فالبراءة</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مستمرّة</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ولا</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أثر</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للإبراء</w:t>
      </w:r>
      <w:r>
        <w:rPr>
          <w:rFonts w:ascii="Traditional Arabic" w:hAnsi="Traditional Arabic" w:cs="Abz-2 (Badr)" w:hint="cs"/>
          <w:color w:val="000000"/>
          <w:sz w:val="28"/>
          <w:szCs w:val="28"/>
          <w:rtl/>
          <w:lang w:bidi="fa-IR"/>
        </w:rPr>
        <w:t>؛</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وفي</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الفرق</w:t>
      </w:r>
      <w:r w:rsidRPr="00CD79EE">
        <w:rPr>
          <w:rFonts w:ascii="Traditional Arabic" w:hAnsi="Traditional Arabic" w:cs="Abz-2 (Badr)"/>
          <w:color w:val="000000"/>
          <w:sz w:val="28"/>
          <w:szCs w:val="28"/>
          <w:rtl/>
          <w:lang w:bidi="fa-IR"/>
        </w:rPr>
        <w:t xml:space="preserve"> </w:t>
      </w:r>
      <w:r w:rsidRPr="00CD79EE">
        <w:rPr>
          <w:rFonts w:ascii="Traditional Arabic" w:hAnsi="Traditional Arabic" w:cs="Abz-2 (Badr)" w:hint="cs"/>
          <w:color w:val="000000"/>
          <w:sz w:val="28"/>
          <w:szCs w:val="28"/>
          <w:rtl/>
          <w:lang w:bidi="fa-IR"/>
        </w:rPr>
        <w:t>نظر</w:t>
      </w:r>
      <w:r w:rsidRPr="00CD79EE">
        <w:rPr>
          <w:rFonts w:ascii="Traditional Arabic" w:hAnsi="Traditional Arabic" w:cs="Abz-2 (Badr)"/>
          <w:color w:val="000000"/>
          <w:sz w:val="28"/>
          <w:szCs w:val="28"/>
          <w:rtl/>
          <w:lang w:bidi="fa-IR"/>
        </w:rPr>
        <w:t>.</w:t>
      </w:r>
      <w:r>
        <w:rPr>
          <w:rFonts w:ascii="Traditional Arabic" w:hAnsi="Traditional Arabic" w:cs="Abz-2 (Badr)" w:hint="cs"/>
          <w:color w:val="000000"/>
          <w:sz w:val="28"/>
          <w:szCs w:val="28"/>
          <w:rtl/>
          <w:lang w:bidi="fa-IR"/>
        </w:rPr>
        <w:t>»</w:t>
      </w:r>
      <w:r>
        <w:rPr>
          <w:rStyle w:val="FootnoteReference"/>
          <w:rFonts w:ascii="Traditional Arabic" w:hAnsi="Traditional Arabic" w:cs="Abz-2 (Badr)"/>
          <w:color w:val="000000"/>
          <w:sz w:val="28"/>
          <w:szCs w:val="28"/>
          <w:rtl/>
          <w:lang w:bidi="fa-IR"/>
        </w:rPr>
        <w:footnoteReference w:id="1"/>
      </w:r>
    </w:p>
    <w:p w14:paraId="5FD79D6E" w14:textId="2FD6C347" w:rsidR="00064061" w:rsidRDefault="00064061" w:rsidP="005069E4">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همان گونه که در نهايت کلام خود فرموده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اين جهت که در ما نحن فيه حق زوجه با اسقاط آن ساقط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در حالی که در فرض نزاع، چون با رجوع شاهد کشف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که حقی وجود نداشته، با اسقاط مدعی چيزی ساقط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موجب تفاوت بين دو مسأله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چون مدعای علامه تشبيه فرق بين هبه مهری که عين خارجی است توسط زوجه به زوج </w:t>
      </w:r>
      <w:r w:rsidR="00FB581A">
        <w:rPr>
          <w:rFonts w:ascii="Traditional Arabic" w:hAnsi="Traditional Arabic" w:cs="Abz-2 (Badr)" w:hint="cs"/>
          <w:color w:val="000000"/>
          <w:sz w:val="28"/>
          <w:szCs w:val="28"/>
          <w:rtl/>
          <w:lang w:bidi="fa-IR"/>
        </w:rPr>
        <w:t>با</w:t>
      </w:r>
      <w:r>
        <w:rPr>
          <w:rFonts w:ascii="Traditional Arabic" w:hAnsi="Traditional Arabic" w:cs="Abz-2 (Badr)" w:hint="cs"/>
          <w:color w:val="000000"/>
          <w:sz w:val="28"/>
          <w:szCs w:val="28"/>
          <w:rtl/>
          <w:lang w:bidi="fa-IR"/>
        </w:rPr>
        <w:t xml:space="preserve"> ابراء ذمه زوج توسط زوجه </w:t>
      </w:r>
      <w:r w:rsidR="00FB581A">
        <w:rPr>
          <w:rFonts w:ascii="Traditional Arabic" w:hAnsi="Traditional Arabic" w:cs="Abz-2 (Badr)" w:hint="cs"/>
          <w:color w:val="000000"/>
          <w:sz w:val="28"/>
          <w:szCs w:val="28"/>
          <w:rtl/>
          <w:lang w:bidi="fa-IR"/>
        </w:rPr>
        <w:t xml:space="preserve">در ما نحن فيه به فرق بين تغريم شاهد زور در جايی که مدعی مال را از مدعی عليه تحويل گرفته و سپس به او هبه کند با عدم تغريم شاهد در موردی است که مدعی، ذمه مدعی عليه را ابراء نمايد، و چنانچه گفته شود که در مورد ابراء در شاهد زور، ابراء اثری نداشته است، در خصوص هبه نيز در آنجا </w:t>
      </w:r>
      <w:r w:rsidR="00FB581A">
        <w:rPr>
          <w:rFonts w:ascii="Traditional Arabic" w:hAnsi="Traditional Arabic" w:cs="Abz-2 (Badr)" w:hint="cs"/>
          <w:color w:val="000000"/>
          <w:sz w:val="28"/>
          <w:szCs w:val="28"/>
          <w:rtl/>
          <w:lang w:bidi="fa-IR"/>
        </w:rPr>
        <w:lastRenderedPageBreak/>
        <w:t>گفته می</w:t>
      </w:r>
      <w:r w:rsidR="00FB581A">
        <w:rPr>
          <w:rFonts w:ascii="Traditional Arabic" w:hAnsi="Traditional Arabic" w:cs="Abz-2 (Badr)"/>
          <w:color w:val="000000"/>
          <w:sz w:val="28"/>
          <w:szCs w:val="28"/>
          <w:rtl/>
          <w:lang w:bidi="fa-IR"/>
        </w:rPr>
        <w:softHyphen/>
      </w:r>
      <w:r w:rsidR="00FB581A">
        <w:rPr>
          <w:rFonts w:ascii="Traditional Arabic" w:hAnsi="Traditional Arabic" w:cs="Abz-2 (Badr)" w:hint="cs"/>
          <w:color w:val="000000"/>
          <w:sz w:val="28"/>
          <w:szCs w:val="28"/>
          <w:rtl/>
          <w:lang w:bidi="fa-IR"/>
        </w:rPr>
        <w:t>شود که بعد از رجوع شاهد از شهادت خود، کشف می</w:t>
      </w:r>
      <w:r w:rsidR="00FB581A">
        <w:rPr>
          <w:rFonts w:ascii="Traditional Arabic" w:hAnsi="Traditional Arabic" w:cs="Abz-2 (Badr)"/>
          <w:color w:val="000000"/>
          <w:sz w:val="28"/>
          <w:szCs w:val="28"/>
          <w:rtl/>
          <w:lang w:bidi="fa-IR"/>
        </w:rPr>
        <w:softHyphen/>
      </w:r>
      <w:r w:rsidR="00FB581A">
        <w:rPr>
          <w:rFonts w:ascii="Traditional Arabic" w:hAnsi="Traditional Arabic" w:cs="Abz-2 (Badr)" w:hint="cs"/>
          <w:color w:val="000000"/>
          <w:sz w:val="28"/>
          <w:szCs w:val="28"/>
          <w:rtl/>
          <w:lang w:bidi="fa-IR"/>
        </w:rPr>
        <w:t>شود که هبه، اثری نداشته است، و با اين وجود بين هبه و ابراء فرق گذاشته شده است و همين فرق در ما نحن فيه نيز وجود دارد.</w:t>
      </w:r>
    </w:p>
    <w:p w14:paraId="04BBC77D" w14:textId="2654A8BD" w:rsidR="00FB581A" w:rsidRPr="00FB581A" w:rsidRDefault="00FB581A" w:rsidP="005069E4">
      <w:pPr>
        <w:widowControl w:val="0"/>
        <w:bidi/>
        <w:spacing w:after="0" w:line="254" w:lineRule="auto"/>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sz w:val="28"/>
          <w:szCs w:val="28"/>
          <w:rtl/>
          <w:lang w:bidi="fa-IR"/>
        </w:rPr>
        <w:t>فلذا صاحب جواهر در بيان فرق بين دو مسأله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فرمايد: «إ</w:t>
      </w:r>
      <w:r w:rsidRPr="00FB581A">
        <w:rPr>
          <w:rFonts w:ascii="Traditional Arabic" w:hAnsi="Traditional Arabic" w:cs="Abz-2 (Badr)" w:hint="cs"/>
          <w:color w:val="000000"/>
          <w:sz w:val="28"/>
          <w:szCs w:val="28"/>
          <w:rtl/>
          <w:lang w:bidi="fa-IR"/>
        </w:rPr>
        <w:t>ن</w:t>
      </w:r>
      <w:r>
        <w:rPr>
          <w:rFonts w:ascii="Traditional Arabic" w:hAnsi="Traditional Arabic" w:cs="Abz-2 (Badr)" w:hint="cs"/>
          <w:color w:val="000000"/>
          <w:sz w:val="28"/>
          <w:szCs w:val="28"/>
          <w:rtl/>
          <w:lang w:bidi="fa-IR"/>
        </w:rPr>
        <w:t>ّ</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مبنى</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رجوع</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المد</w:t>
      </w:r>
      <w:r>
        <w:rPr>
          <w:rFonts w:ascii="Traditional Arabic" w:hAnsi="Traditional Arabic" w:cs="Abz-2 (Badr)" w:hint="cs"/>
          <w:color w:val="000000"/>
          <w:sz w:val="28"/>
          <w:szCs w:val="28"/>
          <w:rtl/>
          <w:lang w:bidi="fa-IR"/>
        </w:rPr>
        <w:t>ّ</w:t>
      </w:r>
      <w:r w:rsidRPr="00FB581A">
        <w:rPr>
          <w:rFonts w:ascii="Traditional Arabic" w:hAnsi="Traditional Arabic" w:cs="Abz-2 (Badr)" w:hint="cs"/>
          <w:color w:val="000000"/>
          <w:sz w:val="28"/>
          <w:szCs w:val="28"/>
          <w:rtl/>
          <w:lang w:bidi="fa-IR"/>
        </w:rPr>
        <w:t>عى</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عليه</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عليهما</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بما</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يغرمه</w:t>
      </w:r>
      <w:r>
        <w:rPr>
          <w:rFonts w:ascii="Traditional Arabic" w:hAnsi="Traditional Arabic" w:cs="Abz-2 (Badr)" w:hint="cs"/>
          <w:color w:val="000000"/>
          <w:sz w:val="28"/>
          <w:szCs w:val="28"/>
          <w:rtl/>
          <w:lang w:bidi="fa-IR"/>
        </w:rPr>
        <w:t>،</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قاعدة</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قو</w:t>
      </w:r>
      <w:r>
        <w:rPr>
          <w:rFonts w:ascii="Traditional Arabic" w:hAnsi="Traditional Arabic" w:cs="Abz-2 (Badr)" w:hint="cs"/>
          <w:color w:val="000000"/>
          <w:sz w:val="28"/>
          <w:szCs w:val="28"/>
          <w:rtl/>
          <w:lang w:bidi="fa-IR"/>
        </w:rPr>
        <w:t>ّ</w:t>
      </w:r>
      <w:r w:rsidRPr="00FB581A">
        <w:rPr>
          <w:rFonts w:ascii="Traditional Arabic" w:hAnsi="Traditional Arabic" w:cs="Abz-2 (Badr)" w:hint="cs"/>
          <w:color w:val="000000"/>
          <w:sz w:val="28"/>
          <w:szCs w:val="28"/>
          <w:rtl/>
          <w:lang w:bidi="fa-IR"/>
        </w:rPr>
        <w:t>ة</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السبب</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على</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المباشر،</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فهما</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أولى</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بالاندراج</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في</w:t>
      </w:r>
      <w:r>
        <w:rPr>
          <w:rFonts w:ascii="Traditional Arabic" w:hAnsi="Traditional Arabic" w:cs="Abz-2 (Badr)" w:hint="cs"/>
          <w:color w:val="000000"/>
          <w:sz w:val="28"/>
          <w:szCs w:val="28"/>
          <w:rtl/>
          <w:lang w:bidi="fa-IR"/>
        </w:rPr>
        <w:t xml:space="preserve"> </w:t>
      </w:r>
      <w:r w:rsidRPr="00FB581A">
        <w:rPr>
          <w:rFonts w:ascii="Traditional Arabic" w:hAnsi="Traditional Arabic" w:cs="Abz-2 (Badr)" w:hint="cs"/>
          <w:color w:val="000000"/>
          <w:sz w:val="28"/>
          <w:szCs w:val="28"/>
          <w:rtl/>
          <w:lang w:bidi="fa-IR"/>
        </w:rPr>
        <w:t xml:space="preserve">قوله(ع): </w:t>
      </w:r>
      <w:r w:rsidRPr="00FB581A">
        <w:rPr>
          <w:rFonts w:ascii="Traditional Arabic" w:hAnsi="Traditional Arabic" w:cs="Abz-2 (Badr)"/>
          <w:color w:val="000000"/>
          <w:sz w:val="28"/>
          <w:szCs w:val="28"/>
          <w:rtl/>
          <w:lang w:bidi="fa-IR"/>
        </w:rPr>
        <w:t>«</w:t>
      </w:r>
      <w:r w:rsidRPr="00FB581A">
        <w:rPr>
          <w:rFonts w:ascii="Traditional Arabic" w:hAnsi="Traditional Arabic" w:cs="Abz-2 (Badr)" w:hint="cs"/>
          <w:color w:val="000000"/>
          <w:sz w:val="28"/>
          <w:szCs w:val="28"/>
          <w:rtl/>
          <w:lang w:bidi="fa-IR"/>
        </w:rPr>
        <w:t>من</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أتلف»</w:t>
      </w:r>
      <w:r>
        <w:rPr>
          <w:rFonts w:ascii="Traditional Arabic" w:hAnsi="Traditional Arabic" w:cs="Abz-2 (Badr)" w:hint="cs"/>
          <w:color w:val="000000"/>
          <w:sz w:val="28"/>
          <w:szCs w:val="28"/>
          <w:rtl/>
          <w:lang w:bidi="fa-IR"/>
        </w:rPr>
        <w:t>،</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والفرض</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عدم</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إتلافهما</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شيئا</w:t>
      </w:r>
      <w:r>
        <w:rPr>
          <w:rFonts w:ascii="Traditional Arabic" w:hAnsi="Traditional Arabic" w:cs="Abz-2 (Badr)" w:hint="cs"/>
          <w:color w:val="000000"/>
          <w:sz w:val="28"/>
          <w:szCs w:val="28"/>
          <w:rtl/>
          <w:lang w:bidi="fa-IR"/>
        </w:rPr>
        <w:t>ً</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عليه،</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لأن</w:t>
      </w:r>
      <w:r>
        <w:rPr>
          <w:rFonts w:ascii="Traditional Arabic" w:hAnsi="Traditional Arabic" w:cs="Abz-2 (Badr)" w:hint="cs"/>
          <w:color w:val="000000"/>
          <w:sz w:val="28"/>
          <w:szCs w:val="28"/>
          <w:rtl/>
          <w:lang w:bidi="fa-IR"/>
        </w:rPr>
        <w:t>ّ</w:t>
      </w:r>
      <w:r w:rsidRPr="00FB581A">
        <w:rPr>
          <w:rFonts w:ascii="Traditional Arabic" w:hAnsi="Traditional Arabic" w:cs="Abz-2 (Badr)" w:hint="cs"/>
          <w:color w:val="000000"/>
          <w:sz w:val="28"/>
          <w:szCs w:val="28"/>
          <w:rtl/>
          <w:lang w:bidi="fa-IR"/>
        </w:rPr>
        <w:t>ه</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أبرأه</w:t>
      </w:r>
      <w:r>
        <w:rPr>
          <w:rFonts w:ascii="Traditional Arabic" w:hAnsi="Traditional Arabic" w:cs="Abz-2 (Badr)" w:hint="cs"/>
          <w:color w:val="000000"/>
          <w:sz w:val="28"/>
          <w:szCs w:val="28"/>
          <w:rtl/>
          <w:lang w:bidi="fa-IR"/>
        </w:rPr>
        <w:t>،</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بخلاف</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ما</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لو</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دفعه</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له</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ثم</w:t>
      </w:r>
      <w:r>
        <w:rPr>
          <w:rFonts w:ascii="Traditional Arabic" w:hAnsi="Traditional Arabic" w:cs="Abz-2 (Badr)" w:hint="cs"/>
          <w:color w:val="000000"/>
          <w:sz w:val="28"/>
          <w:szCs w:val="28"/>
          <w:rtl/>
          <w:lang w:bidi="fa-IR"/>
        </w:rPr>
        <w:t>ّ</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وهبه</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له،</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ضرورة</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صدق</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الغرامة</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التي</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لا</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ينافيها</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هبته</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له</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ذلك</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التي</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هي</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ملك</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جديد</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بسبب</w:t>
      </w:r>
      <w:r w:rsidRPr="00FB581A">
        <w:rPr>
          <w:rFonts w:ascii="Traditional Arabic" w:hAnsi="Traditional Arabic" w:cs="Abz-2 (Badr)"/>
          <w:color w:val="000000"/>
          <w:sz w:val="28"/>
          <w:szCs w:val="28"/>
          <w:rtl/>
          <w:lang w:bidi="fa-IR"/>
        </w:rPr>
        <w:t xml:space="preserve"> </w:t>
      </w:r>
      <w:r w:rsidRPr="00FB581A">
        <w:rPr>
          <w:rFonts w:ascii="Traditional Arabic" w:hAnsi="Traditional Arabic" w:cs="Abz-2 (Badr)" w:hint="cs"/>
          <w:color w:val="000000"/>
          <w:sz w:val="28"/>
          <w:szCs w:val="28"/>
          <w:rtl/>
          <w:lang w:bidi="fa-IR"/>
        </w:rPr>
        <w:t>جديد</w:t>
      </w:r>
      <w:r>
        <w:rPr>
          <w:rFonts w:ascii="Traditional Arabic" w:hAnsi="Traditional Arabic" w:cs="Abz-2 (Badr)" w:hint="cs"/>
          <w:color w:val="000000"/>
          <w:sz w:val="28"/>
          <w:szCs w:val="28"/>
          <w:rtl/>
          <w:lang w:bidi="fa-IR"/>
        </w:rPr>
        <w:t>.»</w:t>
      </w:r>
      <w:r>
        <w:rPr>
          <w:rStyle w:val="FootnoteReference"/>
          <w:rFonts w:ascii="Traditional Arabic" w:hAnsi="Traditional Arabic" w:cs="Abz-2 (Badr)"/>
          <w:color w:val="000000"/>
          <w:sz w:val="28"/>
          <w:szCs w:val="28"/>
          <w:rtl/>
          <w:lang w:bidi="fa-IR"/>
        </w:rPr>
        <w:footnoteReference w:id="2"/>
      </w:r>
    </w:p>
    <w:p w14:paraId="2295BAF5" w14:textId="334B798D" w:rsidR="00FB581A" w:rsidRDefault="00FB581A" w:rsidP="005069E4">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مدعای ايشان در واقع اين است که وجه فرق بين هبه و ابراء در بحث شاهد زور اين است که تغريم شاهد، به جهت تضمين او از حيث استناد اتلاف مال مدعی عليه به اوست، در نتيجه هرجا که اتلاف مال صدق کند،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او را تغريم کرد وگرنه تغريم او وجهی نخواهد داشت و چون در جايی که مدعی مال را از مدعی عليه قبض کرده و سپس آن را به او هبه کند، اتلاف مال به جهت قبض آن توسط مدعی صدق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و هبه بعدی موجب انتفاء اين عنوان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شاهد زور ضامن خواهد بود، در حالی که در ابراء، اتلافی محقق نشده فلذا تغريم شاهد نيز وجهی نخواهد داشت.</w:t>
      </w:r>
    </w:p>
    <w:p w14:paraId="47828482" w14:textId="6E33AD9D" w:rsidR="00FB581A" w:rsidRDefault="00FB581A" w:rsidP="005069E4">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اين در حالی است که در ما نحن فيه، مستند لزوم دفع نصف مهر توسط زوجه به زوج، قاعده </w:t>
      </w:r>
      <w:r w:rsidR="005069E4">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من اتلف</w:t>
      </w:r>
      <w:r w:rsidR="005069E4">
        <w:rPr>
          <w:rFonts w:ascii="Traditional Arabic" w:hAnsi="Traditional Arabic" w:cs="Abz-2 (Badr)" w:hint="cs"/>
          <w:color w:val="000000"/>
          <w:sz w:val="28"/>
          <w:szCs w:val="28"/>
          <w:rtl/>
          <w:lang w:bidi="fa-IR"/>
        </w:rPr>
        <w:t>»</w:t>
      </w:r>
      <w:r>
        <w:rPr>
          <w:rFonts w:ascii="Traditional Arabic" w:hAnsi="Traditional Arabic" w:cs="Abz-2 (Badr)" w:hint="cs"/>
          <w:color w:val="000000"/>
          <w:sz w:val="28"/>
          <w:szCs w:val="28"/>
          <w:rtl/>
          <w:lang w:bidi="fa-IR"/>
        </w:rPr>
        <w:t xml:space="preserve"> نبوده و </w:t>
      </w:r>
      <w:r w:rsidR="005069E4">
        <w:rPr>
          <w:rFonts w:ascii="Traditional Arabic" w:hAnsi="Traditional Arabic" w:cs="Abz-2 (Badr)" w:hint="cs"/>
          <w:color w:val="000000"/>
          <w:sz w:val="28"/>
          <w:szCs w:val="28"/>
          <w:rtl/>
          <w:lang w:bidi="fa-IR"/>
        </w:rPr>
        <w:t>اصولاً تلف يا اتلاف مدخليتی در لزوم رد نصف مهر ندارد، زيرا همان گونه که سابقاً گفتيم زوجه به واسطه تصرف در مهر تا قبل از وقوع طلاق، ضامن هيچ چيزی نيست، بلکه مستند آن آيه شريفه و روايات است که طلاق را مملک «نصف ما فرضتم» به زوج معرفی کرده</w:t>
      </w:r>
      <w:r w:rsidR="005069E4">
        <w:rPr>
          <w:rFonts w:ascii="Traditional Arabic" w:hAnsi="Traditional Arabic" w:cs="Abz-2 (Badr)"/>
          <w:color w:val="000000"/>
          <w:sz w:val="28"/>
          <w:szCs w:val="28"/>
          <w:rtl/>
          <w:lang w:bidi="fa-IR"/>
        </w:rPr>
        <w:softHyphen/>
      </w:r>
      <w:r w:rsidR="005069E4">
        <w:rPr>
          <w:rFonts w:ascii="Traditional Arabic" w:hAnsi="Traditional Arabic" w:cs="Abz-2 (Badr)" w:hint="cs"/>
          <w:color w:val="000000"/>
          <w:sz w:val="28"/>
          <w:szCs w:val="28"/>
          <w:rtl/>
          <w:lang w:bidi="fa-IR"/>
        </w:rPr>
        <w:t>اند، در نتيجه چنانچه مهر به قبض زوجه درآمده باشد، بر او لازم است که نصف آن را به زوج برگرداند و اگر عين آن موجود نباشد، رد نصف بدل آن بر وی لازم خواهد بود. بنابر اين، اين دو مسأله با يکديگر قابل قياس نيستند.</w:t>
      </w:r>
    </w:p>
    <w:p w14:paraId="324901E4" w14:textId="283301FF" w:rsidR="005069E4" w:rsidRDefault="005069E4" w:rsidP="005069E4">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نتيجه در فرض وجود اطلاق در آيه شريفه، اشکالی در دلالت آن بر لزوم رد نصف بدل مهر توسط زوجه به زوج وجود ندارد.</w:t>
      </w:r>
    </w:p>
    <w:p w14:paraId="3D21C2DC" w14:textId="409E5616" w:rsidR="008A7489" w:rsidRPr="00AF212A" w:rsidRDefault="005069E4" w:rsidP="00064B62">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اشکالی که اين مدعا دارد اين است که ادعای اطلاق در آيه قابل قبول نيست، زيرا معلوم نيست که آيه شريفه </w:t>
      </w:r>
      <w:r>
        <w:rPr>
          <w:rFonts w:ascii="Traditional Arabic" w:hAnsi="Traditional Arabic" w:cs="Abz-2 (Badr)" w:hint="cs"/>
          <w:color w:val="000000"/>
          <w:sz w:val="28"/>
          <w:szCs w:val="28"/>
          <w:rtl/>
          <w:lang w:bidi="fa-IR"/>
        </w:rPr>
        <w:lastRenderedPageBreak/>
        <w:t>در صدد بيان حکم حتی در موردی باشد که مهر توسط زوجه به زوج هبه شده يا اين که ذمه زوج توسط زوجه ابراء شده است.</w:t>
      </w:r>
    </w:p>
    <w:p w14:paraId="321F9DE0" w14:textId="77777777" w:rsidR="00590A79" w:rsidRPr="002E532C" w:rsidRDefault="00590A79" w:rsidP="00590A79">
      <w:pPr>
        <w:widowControl w:val="0"/>
        <w:bidi/>
        <w:spacing w:after="0"/>
        <w:ind w:firstLine="284"/>
        <w:jc w:val="both"/>
        <w:rPr>
          <w:rFonts w:ascii="Traditional Arabic" w:hAnsi="Traditional Arabic" w:cs="Abz-2 (Badr)"/>
          <w:color w:val="000000"/>
          <w:sz w:val="28"/>
          <w:szCs w:val="28"/>
          <w:rtl/>
          <w:lang w:bidi="fa-IR"/>
        </w:rPr>
      </w:pPr>
    </w:p>
    <w:sectPr w:rsidR="00590A79" w:rsidRPr="002E532C" w:rsidSect="00614E9C">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6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22985" w14:textId="77777777" w:rsidR="00123EE3" w:rsidRDefault="00123EE3" w:rsidP="00F71127">
      <w:pPr>
        <w:spacing w:after="0" w:line="240" w:lineRule="auto"/>
      </w:pPr>
      <w:r>
        <w:separator/>
      </w:r>
    </w:p>
  </w:endnote>
  <w:endnote w:type="continuationSeparator" w:id="0">
    <w:p w14:paraId="3074B5AD" w14:textId="77777777" w:rsidR="00123EE3" w:rsidRDefault="00123EE3"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37149" w14:textId="77777777" w:rsidR="00614E9C" w:rsidRDefault="00614E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EE95D" w14:textId="77777777" w:rsidR="00614E9C" w:rsidRDefault="00614E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3817A" w14:textId="77777777" w:rsidR="00123EE3" w:rsidRDefault="00123EE3" w:rsidP="00EE25C0">
      <w:pPr>
        <w:bidi/>
        <w:spacing w:after="0" w:line="240" w:lineRule="auto"/>
      </w:pPr>
      <w:r>
        <w:separator/>
      </w:r>
    </w:p>
  </w:footnote>
  <w:footnote w:type="continuationSeparator" w:id="0">
    <w:p w14:paraId="7ED83D50" w14:textId="77777777" w:rsidR="00123EE3" w:rsidRDefault="00123EE3" w:rsidP="00F71127">
      <w:pPr>
        <w:bidi/>
        <w:spacing w:after="0" w:line="240" w:lineRule="auto"/>
      </w:pPr>
      <w:r>
        <w:continuationSeparator/>
      </w:r>
    </w:p>
  </w:footnote>
  <w:footnote w:id="1">
    <w:p w14:paraId="643CDAD6" w14:textId="7C59AC27" w:rsidR="00CD79EE" w:rsidRPr="00064061" w:rsidRDefault="00064061" w:rsidP="00064061">
      <w:pPr>
        <w:pStyle w:val="FootnoteText"/>
        <w:bidi/>
        <w:rPr>
          <w:rFonts w:cs="Abz-2 (Badr)"/>
          <w:rtl/>
          <w:lang w:bidi="fa-IR"/>
        </w:rPr>
      </w:pPr>
      <w:r>
        <w:rPr>
          <w:rFonts w:cs="Abz-2 (Badr)" w:hint="cs"/>
          <w:rtl/>
          <w:lang w:bidi="fa-IR"/>
        </w:rPr>
        <w:t xml:space="preserve"> </w:t>
      </w:r>
      <w:r w:rsidR="00CD79EE" w:rsidRPr="00064061">
        <w:rPr>
          <w:rStyle w:val="FootnoteReference"/>
          <w:rFonts w:cs="Abz-2 (Badr)"/>
          <w:vertAlign w:val="baseline"/>
        </w:rPr>
        <w:footnoteRef/>
      </w:r>
      <w:r>
        <w:rPr>
          <w:rFonts w:cs="Abz-2 (Badr)" w:hint="cs"/>
          <w:rtl/>
          <w:lang w:bidi="fa-IR"/>
        </w:rPr>
        <w:t xml:space="preserve"> ـ مسالك،ج8،ص240 و 241.</w:t>
      </w:r>
    </w:p>
  </w:footnote>
  <w:footnote w:id="2">
    <w:p w14:paraId="3DA16A61" w14:textId="0FDF78CF" w:rsidR="00FB581A" w:rsidRPr="00064061" w:rsidRDefault="00FB581A" w:rsidP="00FB581A">
      <w:pPr>
        <w:pStyle w:val="FootnoteText"/>
        <w:bidi/>
        <w:rPr>
          <w:rFonts w:cs="Abz-2 (Badr)"/>
          <w:rtl/>
          <w:lang w:bidi="fa-IR"/>
        </w:rPr>
      </w:pPr>
      <w:r>
        <w:rPr>
          <w:rFonts w:cs="Abz-2 (Badr)" w:hint="cs"/>
          <w:rtl/>
          <w:lang w:bidi="fa-IR"/>
        </w:rPr>
        <w:t xml:space="preserve"> </w:t>
      </w:r>
      <w:r w:rsidRPr="00064061">
        <w:rPr>
          <w:rStyle w:val="FootnoteReference"/>
          <w:rFonts w:cs="Abz-2 (Badr)"/>
          <w:vertAlign w:val="baseline"/>
        </w:rPr>
        <w:footnoteRef/>
      </w:r>
      <w:r>
        <w:rPr>
          <w:rFonts w:cs="Abz-2 (Badr)" w:hint="cs"/>
          <w:rtl/>
          <w:lang w:bidi="fa-IR"/>
        </w:rPr>
        <w:t xml:space="preserve"> ـ جواهر،ج32،ص160 و 161.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C4E65" w14:textId="77777777" w:rsidR="00614E9C" w:rsidRDefault="00614E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EA58" w14:textId="0700C6F5" w:rsidR="00614E9C" w:rsidRDefault="00614E9C">
    <w:pPr>
      <w:pStyle w:val="Header"/>
    </w:pPr>
    <w:r>
      <w:rPr>
        <w:noProof/>
      </w:rPr>
      <mc:AlternateContent>
        <mc:Choice Requires="wps">
          <w:drawing>
            <wp:anchor distT="45720" distB="45720" distL="114300" distR="114300" simplePos="0" relativeHeight="251661312" behindDoc="0" locked="0" layoutInCell="1" allowOverlap="1" wp14:anchorId="43DD69CA" wp14:editId="49A09357">
              <wp:simplePos x="0" y="0"/>
              <wp:positionH relativeFrom="column">
                <wp:posOffset>1789430</wp:posOffset>
              </wp:positionH>
              <wp:positionV relativeFrom="paragraph">
                <wp:posOffset>182880</wp:posOffset>
              </wp:positionV>
              <wp:extent cx="4709160" cy="15925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9160" cy="1592580"/>
                      </a:xfrm>
                      <a:prstGeom prst="rect">
                        <a:avLst/>
                      </a:prstGeom>
                      <a:solidFill>
                        <a:srgbClr val="FFFFFF"/>
                      </a:solidFill>
                      <a:ln w="9525">
                        <a:noFill/>
                        <a:miter lim="800000"/>
                        <a:headEnd/>
                        <a:tailEnd/>
                      </a:ln>
                    </wps:spPr>
                    <wps:txbx>
                      <w:txbxContent>
                        <w:p w14:paraId="6A2C6524" w14:textId="46AFBBDB" w:rsidR="00614E9C" w:rsidRDefault="00614E9C" w:rsidP="00614E9C">
                          <w:pPr>
                            <w:bidi/>
                            <w:rPr>
                              <w:rFonts w:cs="B Mehr"/>
                            </w:rPr>
                          </w:pPr>
                          <w:r>
                            <w:rPr>
                              <w:rFonts w:cs="B Mehr" w:hint="cs"/>
                              <w:rtl/>
                            </w:rPr>
                            <w:t xml:space="preserve">تقریر درس خارج </w:t>
                          </w:r>
                          <w:r w:rsidR="00D4267F">
                            <w:rPr>
                              <w:rFonts w:cs="B Mehr" w:hint="cs"/>
                              <w:rtl/>
                            </w:rPr>
                            <w:t>فقه</w:t>
                          </w:r>
                          <w:r>
                            <w:rPr>
                              <w:rFonts w:cs="B Mehr" w:hint="cs"/>
                              <w:rtl/>
                            </w:rPr>
                            <w:t xml:space="preserve"> استاد سید علی موسوی اردبیلی</w:t>
                          </w:r>
                          <w:r>
                            <w:rPr>
                              <w:rFonts w:cs="B Mehr" w:hint="cs"/>
                            </w:rPr>
                            <w:t xml:space="preserve"> </w:t>
                          </w:r>
                        </w:p>
                        <w:p w14:paraId="35BF3AD4" w14:textId="77777777" w:rsidR="00AA51EA" w:rsidRDefault="00AA51EA" w:rsidP="00AA51EA">
                          <w:pPr>
                            <w:jc w:val="right"/>
                            <w:rPr>
                              <w:rFonts w:cs="B Mehr"/>
                            </w:rPr>
                          </w:pPr>
                          <w:r>
                            <w:rPr>
                              <w:rFonts w:cs="B Mehr" w:hint="cs"/>
                              <w:rtl/>
                            </w:rPr>
                            <w:t xml:space="preserve">مبحث: نکاح    / مهر </w:t>
                          </w:r>
                        </w:p>
                        <w:p w14:paraId="25E68B3C" w14:textId="7CBC978F" w:rsidR="00614E9C" w:rsidRDefault="00614E9C" w:rsidP="00614E9C">
                          <w:pPr>
                            <w:bidi/>
                          </w:pPr>
                          <w:r>
                            <w:rPr>
                              <w:rFonts w:cs="B Mehr" w:hint="cs"/>
                              <w:rtl/>
                            </w:rPr>
                            <w:t xml:space="preserve">تاریخ:    </w:t>
                          </w:r>
                          <w:r>
                            <w:rPr>
                              <w:rFonts w:cs="B Mehr" w:hint="cs"/>
                              <w:rtl/>
                              <w:lang w:bidi="fa-IR"/>
                            </w:rPr>
                            <w:t xml:space="preserve"> شنبه</w:t>
                          </w:r>
                          <w:r>
                            <w:rPr>
                              <w:rFonts w:cs="B Mehr" w:hint="cs"/>
                              <w:rtl/>
                            </w:rPr>
                            <w:t>،  6     خرداد  ماه - 1402ه.ش</w:t>
                          </w:r>
                        </w:p>
                        <w:p w14:paraId="1878312D" w14:textId="77777777" w:rsidR="00614E9C" w:rsidRDefault="00614E9C" w:rsidP="00614E9C"/>
                        <w:p w14:paraId="56033D8C" w14:textId="77777777" w:rsidR="00614E9C" w:rsidRDefault="00614E9C" w:rsidP="00614E9C"/>
                        <w:p w14:paraId="555D1886" w14:textId="77777777" w:rsidR="00614E9C" w:rsidRDefault="00614E9C" w:rsidP="00614E9C"/>
                        <w:p w14:paraId="6F829F66" w14:textId="77777777" w:rsidR="00614E9C" w:rsidRDefault="00614E9C" w:rsidP="00614E9C"/>
                        <w:p w14:paraId="0129FA47" w14:textId="77777777" w:rsidR="00614E9C" w:rsidRDefault="00614E9C" w:rsidP="00614E9C"/>
                        <w:p w14:paraId="427330C3" w14:textId="77777777" w:rsidR="00614E9C" w:rsidRDefault="00614E9C" w:rsidP="00614E9C"/>
                        <w:p w14:paraId="582280CE" w14:textId="77777777" w:rsidR="00614E9C" w:rsidRDefault="00614E9C" w:rsidP="00614E9C"/>
                        <w:p w14:paraId="3EB44D95" w14:textId="77777777" w:rsidR="00614E9C" w:rsidRDefault="00614E9C" w:rsidP="00614E9C"/>
                        <w:p w14:paraId="26111271" w14:textId="77777777" w:rsidR="00614E9C" w:rsidRDefault="00614E9C" w:rsidP="00614E9C"/>
                        <w:p w14:paraId="77FD2D33" w14:textId="77777777" w:rsidR="00614E9C" w:rsidRDefault="00614E9C" w:rsidP="00614E9C"/>
                        <w:p w14:paraId="46BBE78D" w14:textId="77777777" w:rsidR="00614E9C" w:rsidRDefault="00614E9C" w:rsidP="00614E9C"/>
                        <w:p w14:paraId="31AEE6F6" w14:textId="77777777" w:rsidR="00614E9C" w:rsidRDefault="00614E9C" w:rsidP="00614E9C"/>
                        <w:p w14:paraId="1DDF43EF" w14:textId="77777777" w:rsidR="00614E9C" w:rsidRDefault="00614E9C" w:rsidP="00614E9C"/>
                        <w:p w14:paraId="75414DDC" w14:textId="364D3099" w:rsidR="00614E9C" w:rsidRDefault="00614E9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DD69CA" id="_x0000_t202" coordsize="21600,21600" o:spt="202" path="m,l,21600r21600,l21600,xe">
              <v:stroke joinstyle="miter"/>
              <v:path gradientshapeok="t" o:connecttype="rect"/>
            </v:shapetype>
            <v:shape id="Text Box 2" o:spid="_x0000_s1026" type="#_x0000_t202" style="position:absolute;margin-left:140.9pt;margin-top:14.4pt;width:370.8pt;height:125.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" stroked="f">
              <v:textbox>
                <w:txbxContent>
                  <w:p w14:paraId="6A2C6524" w14:textId="46AFBBDB" w:rsidR="00614E9C" w:rsidRDefault="00614E9C" w:rsidP="00614E9C">
                    <w:pPr>
                      <w:bidi/>
                      <w:rPr>
                        <w:rFonts w:cs="B Mehr"/>
                      </w:rPr>
                    </w:pPr>
                    <w:r>
                      <w:rPr>
                        <w:rFonts w:cs="B Mehr" w:hint="cs"/>
                        <w:rtl/>
                      </w:rPr>
                      <w:t xml:space="preserve">تقریر درس خارج </w:t>
                    </w:r>
                    <w:r w:rsidR="00D4267F">
                      <w:rPr>
                        <w:rFonts w:cs="B Mehr" w:hint="cs"/>
                        <w:rtl/>
                      </w:rPr>
                      <w:t>فقه</w:t>
                    </w:r>
                    <w:r>
                      <w:rPr>
                        <w:rFonts w:cs="B Mehr" w:hint="cs"/>
                        <w:rtl/>
                      </w:rPr>
                      <w:t xml:space="preserve"> استاد سید علی موسوی اردبیلی</w:t>
                    </w:r>
                    <w:r>
                      <w:rPr>
                        <w:rFonts w:cs="B Mehr" w:hint="cs"/>
                      </w:rPr>
                      <w:t xml:space="preserve"> </w:t>
                    </w:r>
                  </w:p>
                  <w:p w14:paraId="35BF3AD4" w14:textId="77777777" w:rsidR="00AA51EA" w:rsidRDefault="00AA51EA" w:rsidP="00AA51EA">
                    <w:pPr>
                      <w:jc w:val="right"/>
                      <w:rPr>
                        <w:rFonts w:cs="B Mehr"/>
                      </w:rPr>
                    </w:pPr>
                    <w:r>
                      <w:rPr>
                        <w:rFonts w:cs="B Mehr" w:hint="cs"/>
                        <w:rtl/>
                      </w:rPr>
                      <w:t xml:space="preserve">مبحث: نکاح    / مهر </w:t>
                    </w:r>
                  </w:p>
                  <w:p w14:paraId="25E68B3C" w14:textId="7CBC978F" w:rsidR="00614E9C" w:rsidRDefault="00614E9C" w:rsidP="00614E9C">
                    <w:pPr>
                      <w:bidi/>
                    </w:pPr>
                    <w:r>
                      <w:rPr>
                        <w:rFonts w:cs="B Mehr" w:hint="cs"/>
                        <w:rtl/>
                      </w:rPr>
                      <w:t xml:space="preserve">تاریخ:    </w:t>
                    </w:r>
                    <w:r>
                      <w:rPr>
                        <w:rFonts w:cs="B Mehr" w:hint="cs"/>
                        <w:rtl/>
                        <w:lang w:bidi="fa-IR"/>
                      </w:rPr>
                      <w:t xml:space="preserve"> شنبه</w:t>
                    </w:r>
                    <w:r>
                      <w:rPr>
                        <w:rFonts w:cs="B Mehr" w:hint="cs"/>
                        <w:rtl/>
                      </w:rPr>
                      <w:t>،  6     خرداد  ماه - 1402ه.ش</w:t>
                    </w:r>
                  </w:p>
                  <w:p w14:paraId="1878312D" w14:textId="77777777" w:rsidR="00614E9C" w:rsidRDefault="00614E9C" w:rsidP="00614E9C"/>
                  <w:p w14:paraId="56033D8C" w14:textId="77777777" w:rsidR="00614E9C" w:rsidRDefault="00614E9C" w:rsidP="00614E9C"/>
                  <w:p w14:paraId="555D1886" w14:textId="77777777" w:rsidR="00614E9C" w:rsidRDefault="00614E9C" w:rsidP="00614E9C"/>
                  <w:p w14:paraId="6F829F66" w14:textId="77777777" w:rsidR="00614E9C" w:rsidRDefault="00614E9C" w:rsidP="00614E9C"/>
                  <w:p w14:paraId="0129FA47" w14:textId="77777777" w:rsidR="00614E9C" w:rsidRDefault="00614E9C" w:rsidP="00614E9C"/>
                  <w:p w14:paraId="427330C3" w14:textId="77777777" w:rsidR="00614E9C" w:rsidRDefault="00614E9C" w:rsidP="00614E9C"/>
                  <w:p w14:paraId="582280CE" w14:textId="77777777" w:rsidR="00614E9C" w:rsidRDefault="00614E9C" w:rsidP="00614E9C"/>
                  <w:p w14:paraId="3EB44D95" w14:textId="77777777" w:rsidR="00614E9C" w:rsidRDefault="00614E9C" w:rsidP="00614E9C"/>
                  <w:p w14:paraId="26111271" w14:textId="77777777" w:rsidR="00614E9C" w:rsidRDefault="00614E9C" w:rsidP="00614E9C"/>
                  <w:p w14:paraId="77FD2D33" w14:textId="77777777" w:rsidR="00614E9C" w:rsidRDefault="00614E9C" w:rsidP="00614E9C"/>
                  <w:p w14:paraId="46BBE78D" w14:textId="77777777" w:rsidR="00614E9C" w:rsidRDefault="00614E9C" w:rsidP="00614E9C"/>
                  <w:p w14:paraId="31AEE6F6" w14:textId="77777777" w:rsidR="00614E9C" w:rsidRDefault="00614E9C" w:rsidP="00614E9C"/>
                  <w:p w14:paraId="1DDF43EF" w14:textId="77777777" w:rsidR="00614E9C" w:rsidRDefault="00614E9C" w:rsidP="00614E9C"/>
                  <w:p w14:paraId="75414DDC" w14:textId="364D3099" w:rsidR="00614E9C" w:rsidRDefault="00614E9C"/>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59D6C122" wp14:editId="1EBC278B">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CC3BC" w14:textId="77777777" w:rsidR="00614E9C" w:rsidRDefault="00614E9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4E1"/>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4061"/>
    <w:rsid w:val="00064B62"/>
    <w:rsid w:val="00065987"/>
    <w:rsid w:val="00066A8F"/>
    <w:rsid w:val="0007062A"/>
    <w:rsid w:val="00074A84"/>
    <w:rsid w:val="00074CA0"/>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3EE3"/>
    <w:rsid w:val="001255F1"/>
    <w:rsid w:val="0012644A"/>
    <w:rsid w:val="00126F55"/>
    <w:rsid w:val="00133689"/>
    <w:rsid w:val="0013391F"/>
    <w:rsid w:val="001420FB"/>
    <w:rsid w:val="00142696"/>
    <w:rsid w:val="00145844"/>
    <w:rsid w:val="00147273"/>
    <w:rsid w:val="00150806"/>
    <w:rsid w:val="0015228E"/>
    <w:rsid w:val="001551D1"/>
    <w:rsid w:val="00156080"/>
    <w:rsid w:val="00161435"/>
    <w:rsid w:val="00164707"/>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B9A"/>
    <w:rsid w:val="001A58DF"/>
    <w:rsid w:val="001A7DC9"/>
    <w:rsid w:val="001B2ADB"/>
    <w:rsid w:val="001B310B"/>
    <w:rsid w:val="001B3598"/>
    <w:rsid w:val="001B37A9"/>
    <w:rsid w:val="001B537E"/>
    <w:rsid w:val="001B65D7"/>
    <w:rsid w:val="001B6B2F"/>
    <w:rsid w:val="001B7E2C"/>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32C"/>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2E55"/>
    <w:rsid w:val="003C6DBC"/>
    <w:rsid w:val="003C6F3E"/>
    <w:rsid w:val="003D02F5"/>
    <w:rsid w:val="003D4C99"/>
    <w:rsid w:val="003D5A6B"/>
    <w:rsid w:val="003D72FA"/>
    <w:rsid w:val="003E16FF"/>
    <w:rsid w:val="003E2132"/>
    <w:rsid w:val="003E3DD1"/>
    <w:rsid w:val="003E5B78"/>
    <w:rsid w:val="003E62DA"/>
    <w:rsid w:val="003E7548"/>
    <w:rsid w:val="003F3EEE"/>
    <w:rsid w:val="003F4526"/>
    <w:rsid w:val="00403DBF"/>
    <w:rsid w:val="00403F11"/>
    <w:rsid w:val="00404302"/>
    <w:rsid w:val="00407936"/>
    <w:rsid w:val="00407DFD"/>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0E7D"/>
    <w:rsid w:val="00451E5F"/>
    <w:rsid w:val="00452311"/>
    <w:rsid w:val="004535F2"/>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05AC"/>
    <w:rsid w:val="004A4E1E"/>
    <w:rsid w:val="004A59F7"/>
    <w:rsid w:val="004B110C"/>
    <w:rsid w:val="004B143E"/>
    <w:rsid w:val="004B26CD"/>
    <w:rsid w:val="004B3F7E"/>
    <w:rsid w:val="004B5767"/>
    <w:rsid w:val="004B6027"/>
    <w:rsid w:val="004B67F7"/>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9E4"/>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A79"/>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1D94"/>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45EB"/>
    <w:rsid w:val="005F5040"/>
    <w:rsid w:val="005F51A5"/>
    <w:rsid w:val="0060301F"/>
    <w:rsid w:val="006032B4"/>
    <w:rsid w:val="0060413C"/>
    <w:rsid w:val="0060689C"/>
    <w:rsid w:val="00607112"/>
    <w:rsid w:val="0061359C"/>
    <w:rsid w:val="00614E9C"/>
    <w:rsid w:val="00616AD6"/>
    <w:rsid w:val="00617E4E"/>
    <w:rsid w:val="00621F9A"/>
    <w:rsid w:val="0062256F"/>
    <w:rsid w:val="00622E89"/>
    <w:rsid w:val="0062573D"/>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5D7"/>
    <w:rsid w:val="00673B72"/>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42058"/>
    <w:rsid w:val="00743EDF"/>
    <w:rsid w:val="00746946"/>
    <w:rsid w:val="00747C89"/>
    <w:rsid w:val="00750FB1"/>
    <w:rsid w:val="00752598"/>
    <w:rsid w:val="00753419"/>
    <w:rsid w:val="00753C19"/>
    <w:rsid w:val="00761208"/>
    <w:rsid w:val="007641CF"/>
    <w:rsid w:val="00764E6D"/>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B635F"/>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217E"/>
    <w:rsid w:val="007F3042"/>
    <w:rsid w:val="007F3822"/>
    <w:rsid w:val="007F4A05"/>
    <w:rsid w:val="007F6657"/>
    <w:rsid w:val="00800189"/>
    <w:rsid w:val="008012F1"/>
    <w:rsid w:val="008019E1"/>
    <w:rsid w:val="008045A0"/>
    <w:rsid w:val="00804CA0"/>
    <w:rsid w:val="008051EB"/>
    <w:rsid w:val="00805372"/>
    <w:rsid w:val="0080665A"/>
    <w:rsid w:val="00806DDA"/>
    <w:rsid w:val="00812BA0"/>
    <w:rsid w:val="00814C68"/>
    <w:rsid w:val="00816176"/>
    <w:rsid w:val="00816D94"/>
    <w:rsid w:val="008254E5"/>
    <w:rsid w:val="008261FB"/>
    <w:rsid w:val="008305E7"/>
    <w:rsid w:val="00830913"/>
    <w:rsid w:val="00834DD1"/>
    <w:rsid w:val="00836FC7"/>
    <w:rsid w:val="00837DBE"/>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97FC5"/>
    <w:rsid w:val="008A1A36"/>
    <w:rsid w:val="008A20B3"/>
    <w:rsid w:val="008A20C7"/>
    <w:rsid w:val="008A2AD3"/>
    <w:rsid w:val="008A7489"/>
    <w:rsid w:val="008A7C8B"/>
    <w:rsid w:val="008B091F"/>
    <w:rsid w:val="008B094C"/>
    <w:rsid w:val="008B123A"/>
    <w:rsid w:val="008B3444"/>
    <w:rsid w:val="008B429C"/>
    <w:rsid w:val="008B69F7"/>
    <w:rsid w:val="008B70B7"/>
    <w:rsid w:val="008C17D1"/>
    <w:rsid w:val="008C1ED3"/>
    <w:rsid w:val="008C2071"/>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66C48"/>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2B08"/>
    <w:rsid w:val="009E5E0D"/>
    <w:rsid w:val="009E6B65"/>
    <w:rsid w:val="009F19E6"/>
    <w:rsid w:val="009F1FB9"/>
    <w:rsid w:val="009F2510"/>
    <w:rsid w:val="009F39BA"/>
    <w:rsid w:val="009F53E1"/>
    <w:rsid w:val="009F63C7"/>
    <w:rsid w:val="009F7308"/>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51EA"/>
    <w:rsid w:val="00AA6DE0"/>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D5AB8"/>
    <w:rsid w:val="00AE0E3A"/>
    <w:rsid w:val="00AE0F8B"/>
    <w:rsid w:val="00AE2993"/>
    <w:rsid w:val="00AE3024"/>
    <w:rsid w:val="00AE718D"/>
    <w:rsid w:val="00AE794D"/>
    <w:rsid w:val="00AF088B"/>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00A1"/>
    <w:rsid w:val="00BC2799"/>
    <w:rsid w:val="00BC4C24"/>
    <w:rsid w:val="00BD2188"/>
    <w:rsid w:val="00BD32E6"/>
    <w:rsid w:val="00BD3EB1"/>
    <w:rsid w:val="00BD4214"/>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D79EE"/>
    <w:rsid w:val="00CE1EB7"/>
    <w:rsid w:val="00CE4681"/>
    <w:rsid w:val="00CE6EC7"/>
    <w:rsid w:val="00CE72CE"/>
    <w:rsid w:val="00CE7F5A"/>
    <w:rsid w:val="00CF0A66"/>
    <w:rsid w:val="00CF42A1"/>
    <w:rsid w:val="00D00507"/>
    <w:rsid w:val="00D00A33"/>
    <w:rsid w:val="00D01472"/>
    <w:rsid w:val="00D034FB"/>
    <w:rsid w:val="00D0363B"/>
    <w:rsid w:val="00D03E0A"/>
    <w:rsid w:val="00D06503"/>
    <w:rsid w:val="00D10220"/>
    <w:rsid w:val="00D122E9"/>
    <w:rsid w:val="00D13C8D"/>
    <w:rsid w:val="00D202F8"/>
    <w:rsid w:val="00D20C84"/>
    <w:rsid w:val="00D217A3"/>
    <w:rsid w:val="00D22A70"/>
    <w:rsid w:val="00D23467"/>
    <w:rsid w:val="00D266E7"/>
    <w:rsid w:val="00D26E3A"/>
    <w:rsid w:val="00D32E1C"/>
    <w:rsid w:val="00D339F5"/>
    <w:rsid w:val="00D40552"/>
    <w:rsid w:val="00D415E3"/>
    <w:rsid w:val="00D4267F"/>
    <w:rsid w:val="00D44AB6"/>
    <w:rsid w:val="00D45BB2"/>
    <w:rsid w:val="00D50972"/>
    <w:rsid w:val="00D50989"/>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33BB"/>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2746"/>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2D97"/>
    <w:rsid w:val="00EC2F75"/>
    <w:rsid w:val="00EC365F"/>
    <w:rsid w:val="00EC3693"/>
    <w:rsid w:val="00EC605D"/>
    <w:rsid w:val="00EC7700"/>
    <w:rsid w:val="00EC7DC8"/>
    <w:rsid w:val="00ED3BC0"/>
    <w:rsid w:val="00ED3C90"/>
    <w:rsid w:val="00ED578F"/>
    <w:rsid w:val="00ED7F5C"/>
    <w:rsid w:val="00EE25C0"/>
    <w:rsid w:val="00EE612B"/>
    <w:rsid w:val="00EF032B"/>
    <w:rsid w:val="00F00E71"/>
    <w:rsid w:val="00F0109A"/>
    <w:rsid w:val="00F0250B"/>
    <w:rsid w:val="00F02A34"/>
    <w:rsid w:val="00F03C99"/>
    <w:rsid w:val="00F04513"/>
    <w:rsid w:val="00F04C46"/>
    <w:rsid w:val="00F07395"/>
    <w:rsid w:val="00F122EB"/>
    <w:rsid w:val="00F12799"/>
    <w:rsid w:val="00F15B6E"/>
    <w:rsid w:val="00F15BC4"/>
    <w:rsid w:val="00F15D4B"/>
    <w:rsid w:val="00F160FF"/>
    <w:rsid w:val="00F16707"/>
    <w:rsid w:val="00F16974"/>
    <w:rsid w:val="00F1763E"/>
    <w:rsid w:val="00F22DCF"/>
    <w:rsid w:val="00F24CA8"/>
    <w:rsid w:val="00F275E0"/>
    <w:rsid w:val="00F32499"/>
    <w:rsid w:val="00F32548"/>
    <w:rsid w:val="00F32CF7"/>
    <w:rsid w:val="00F33392"/>
    <w:rsid w:val="00F3659B"/>
    <w:rsid w:val="00F4003B"/>
    <w:rsid w:val="00F40DB8"/>
    <w:rsid w:val="00F43F7A"/>
    <w:rsid w:val="00F460CF"/>
    <w:rsid w:val="00F46738"/>
    <w:rsid w:val="00F46AE2"/>
    <w:rsid w:val="00F46E3E"/>
    <w:rsid w:val="00F5036F"/>
    <w:rsid w:val="00F50F91"/>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581A"/>
    <w:rsid w:val="00FB6097"/>
    <w:rsid w:val="00FB6F78"/>
    <w:rsid w:val="00FC0C74"/>
    <w:rsid w:val="00FC103C"/>
    <w:rsid w:val="00FC17B5"/>
    <w:rsid w:val="00FC63C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6109</TotalTime>
  <Pages>4</Pages>
  <Words>777</Words>
  <Characters>4434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804</cp:revision>
  <cp:lastPrinted>2023-05-22T12:50:00Z</cp:lastPrinted>
  <dcterms:created xsi:type="dcterms:W3CDTF">2022-10-16T08:36:00Z</dcterms:created>
  <dcterms:modified xsi:type="dcterms:W3CDTF">2023-05-27T17:37:00Z</dcterms:modified>
</cp:coreProperties>
</file>